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HbA1c, % and Anemia (WHO)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HbA1c, % was positively associated with Anemia (WHO) (odds ratio per 1-SD 1.08 (95% CI 1.03 to 1.13), false discovery rate q &lt;0.001) among 35736 adults aged 20 years or older (a weighted Anemia (WHO) prevalence of 8.5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1.08 (95% CI 1.03 to 1.13)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Anemia (WHO)</w:t>
            </w:r>
          </w:p>
        </w:tc>
        <w:tc>
          <w:tcPr>
            <w:tcW w:type="dxa" w:w="2160"/>
          </w:tcPr>
          <w:p>
            <w:r>
              <w:t>Anemia (WHO)</w:t>
            </w:r>
          </w:p>
        </w:tc>
      </w:tr>
      <w:tr>
        <w:tc>
          <w:tcPr>
            <w:tcW w:type="dxa" w:w="2160"/>
          </w:tcPr>
          <w:p>
            <w:r>
              <w:t>HbA1c, % (exposure)</w:t>
            </w:r>
          </w:p>
        </w:tc>
        <w:tc>
          <w:tcPr>
            <w:tcW w:type="dxa" w:w="2160"/>
          </w:tcPr>
          <w:p>
            <w:r>
              <w:t>5.7</w:t>
            </w:r>
          </w:p>
        </w:tc>
        <w:tc>
          <w:tcPr>
            <w:tcW w:type="dxa" w:w="2160"/>
          </w:tcPr>
          <w:p>
            <w:r>
              <w:t>5.7</w:t>
            </w:r>
          </w:p>
        </w:tc>
        <w:tc>
          <w:tcPr>
            <w:tcW w:type="dxa" w:w="2160"/>
          </w:tcPr>
          <w:p>
            <w:r>
              <w:t>5.8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52.3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  <w:tc>
          <w:tcPr>
            <w:tcW w:type="dxa" w:w="2160"/>
          </w:tcPr>
          <w:p>
            <w:r>
              <w:t>20.3%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46.8%</w:t>
            </w:r>
          </w:p>
        </w:tc>
        <w:tc>
          <w:tcPr>
            <w:tcW w:type="dxa" w:w="2160"/>
          </w:tcPr>
          <w:p>
            <w:r>
              <w:t>24.5%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91.3%</w:t>
            </w:r>
          </w:p>
        </w:tc>
        <w:tc>
          <w:tcPr>
            <w:tcW w:type="dxa" w:w="2160"/>
          </w:tcPr>
          <w:p>
            <w:r>
              <w:t>83.4%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