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High body fat (M&gt;=25/F&gt;=35%) and Anemia (WHO)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High body fat (M&gt;=25/F&gt;=35%) was inversely associated with Anemia (WHO) (odds ratio 0.62 (95% CI 0.49 to 0.78), false discovery rate q &lt;0.001) among 35736 adults aged 20 years or older (a weighted Anemia (WHO) prevalence of 8.5 percent, 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 and alcohol.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High body fat (M&gt;=25/F&gt;=35%)</w:t>
            </w:r>
          </w:p>
        </w:tc>
        <w:tc>
          <w:tcPr>
            <w:tcW w:type="dxa" w:w="1234"/>
          </w:tcPr>
          <w:p>
            <w:r>
              <w:t>Anemia (WHO)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0.62 (95% CI 0.49 to 0.78)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35736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Anemia (WHO)</w:t>
            </w:r>
          </w:p>
        </w:tc>
        <w:tc>
          <w:tcPr>
            <w:tcW w:type="dxa" w:w="2160"/>
          </w:tcPr>
          <w:p>
            <w:r>
              <w:t>Anemia (WHO)</w:t>
            </w:r>
          </w:p>
        </w:tc>
      </w:tr>
      <w:tr>
        <w:tc>
          <w:tcPr>
            <w:tcW w:type="dxa" w:w="2160"/>
          </w:tcPr>
          <w:p>
            <w:r>
              <w:t>High body fat (M&gt;=25/F&gt;=35%) (exposure)</w:t>
            </w:r>
          </w:p>
        </w:tc>
        <w:tc>
          <w:tcPr>
            <w:tcW w:type="dxa" w:w="2160"/>
          </w:tcPr>
          <w:p>
            <w:r>
              <w:t>33.6%</w:t>
            </w:r>
          </w:p>
        </w:tc>
        <w:tc>
          <w:tcPr>
            <w:tcW w:type="dxa" w:w="2160"/>
          </w:tcPr>
          <w:p>
            <w:r>
              <w:t>34.1%</w:t>
            </w:r>
          </w:p>
        </w:tc>
        <w:tc>
          <w:tcPr>
            <w:tcW w:type="dxa" w:w="2160"/>
          </w:tcPr>
          <w:p>
            <w:r>
              <w:t>28.0%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47.2</w:t>
            </w:r>
          </w:p>
        </w:tc>
        <w:tc>
          <w:tcPr>
            <w:tcW w:type="dxa" w:w="2160"/>
          </w:tcPr>
          <w:p>
            <w:r>
              <w:t>46.7</w:t>
            </w:r>
          </w:p>
        </w:tc>
        <w:tc>
          <w:tcPr>
            <w:tcW w:type="dxa" w:w="2160"/>
          </w:tcPr>
          <w:p>
            <w:r>
              <w:t>52.3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50.3%</w:t>
            </w:r>
          </w:p>
        </w:tc>
        <w:tc>
          <w:tcPr>
            <w:tcW w:type="dxa" w:w="2160"/>
          </w:tcPr>
          <w:p>
            <w:r>
              <w:t>53.0%</w:t>
            </w:r>
          </w:p>
        </w:tc>
        <w:tc>
          <w:tcPr>
            <w:tcW w:type="dxa" w:w="2160"/>
          </w:tcPr>
          <w:p>
            <w:r>
              <w:t>20.3%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44.9%</w:t>
            </w:r>
          </w:p>
        </w:tc>
        <w:tc>
          <w:tcPr>
            <w:tcW w:type="dxa" w:w="2160"/>
          </w:tcPr>
          <w:p>
            <w:r>
              <w:t>46.8%</w:t>
            </w:r>
          </w:p>
        </w:tc>
        <w:tc>
          <w:tcPr>
            <w:tcW w:type="dxa" w:w="2160"/>
          </w:tcPr>
          <w:p>
            <w:r>
              <w:t>24.5%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90.6%</w:t>
            </w:r>
          </w:p>
        </w:tc>
        <w:tc>
          <w:tcPr>
            <w:tcW w:type="dxa" w:w="2160"/>
          </w:tcPr>
          <w:p>
            <w:r>
              <w:t>91.3%</w:t>
            </w:r>
          </w:p>
        </w:tc>
        <w:tc>
          <w:tcPr>
            <w:tcW w:type="dxa" w:w="2160"/>
          </w:tcPr>
          <w:p>
            <w:r>
              <w:t>83.4%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