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non-HDL cholesterol (&gt;=190) and Anemia (WHO)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High non-HDL cholesterol (&gt;=190) was inversely associated with Anemia (WHO) (odds ratio 0.44 (95% CI 0.36 to 0.54), false discovery rate q &lt;0.001) among 35736 adults aged 20 years or older (a weighted Anemia (WHO) prevalence of 8.5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non-HDL cholesterol (&gt;=190)</w:t>
            </w:r>
          </w:p>
        </w:tc>
        <w:tc>
          <w:tcPr>
            <w:tcW w:type="dxa" w:w="1234"/>
          </w:tcPr>
          <w:p>
            <w:r>
              <w:t>Anemia (WHO)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0.44 (95% CI 0.36 to 0.54)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35736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Anemia (WHO)</w:t>
            </w:r>
          </w:p>
        </w:tc>
        <w:tc>
          <w:tcPr>
            <w:tcW w:type="dxa" w:w="2160"/>
          </w:tcPr>
          <w:p>
            <w:r>
              <w:t>Anemia (WHO)</w:t>
            </w:r>
          </w:p>
        </w:tc>
      </w:tr>
      <w:tr>
        <w:tc>
          <w:tcPr>
            <w:tcW w:type="dxa" w:w="2160"/>
          </w:tcPr>
          <w:p>
            <w:r>
              <w:t>High non-HDL cholesterol (&gt;=190) (exposure)</w:t>
            </w:r>
          </w:p>
        </w:tc>
        <w:tc>
          <w:tcPr>
            <w:tcW w:type="dxa" w:w="2160"/>
          </w:tcPr>
          <w:p>
            <w:r>
              <w:t>8.8%</w:t>
            </w:r>
          </w:p>
        </w:tc>
        <w:tc>
          <w:tcPr>
            <w:tcW w:type="dxa" w:w="2160"/>
          </w:tcPr>
          <w:p>
            <w:r>
              <w:t>9.2%</w:t>
            </w:r>
          </w:p>
        </w:tc>
        <w:tc>
          <w:tcPr>
            <w:tcW w:type="dxa" w:w="2160"/>
          </w:tcPr>
          <w:p>
            <w:r>
              <w:t>4.4%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46.7</w:t>
            </w:r>
          </w:p>
        </w:tc>
        <w:tc>
          <w:tcPr>
            <w:tcW w:type="dxa" w:w="2160"/>
          </w:tcPr>
          <w:p>
            <w:r>
              <w:t>52.3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  <w:tc>
          <w:tcPr>
            <w:tcW w:type="dxa" w:w="2160"/>
          </w:tcPr>
          <w:p>
            <w:r>
              <w:t>20.3%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46.8%</w:t>
            </w:r>
          </w:p>
        </w:tc>
        <w:tc>
          <w:tcPr>
            <w:tcW w:type="dxa" w:w="2160"/>
          </w:tcPr>
          <w:p>
            <w:r>
              <w:t>24.5%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91.3%</w:t>
            </w:r>
          </w:p>
        </w:tc>
        <w:tc>
          <w:tcPr>
            <w:tcW w:type="dxa" w:w="2160"/>
          </w:tcPr>
          <w:p>
            <w:r>
              <w:t>83.4%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