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Serum 25(OH)D, ng/mL and Anemia (WHO)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Serum 25(OH)D, ng/mL was inversely associated with Anemia (WHO) (odds ratio per 1-SD 0.82 (95% CI 0.75 to 0.91), false discovery rate q &lt;0.001) among 35736 adults aged 20 years or older (a weighted Anemia (WHO) prevalence of 8.5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Serum 25(OH)D, ng/mL</w:t>
            </w:r>
          </w:p>
        </w:tc>
        <w:tc>
          <w:tcPr>
            <w:tcW w:type="dxa" w:w="1234"/>
          </w:tcPr>
          <w:p>
            <w:r>
              <w:t>Anemia (WHO)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0.82 (95% CI 0.75 to 0.91)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35736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Anemia (WHO)</w:t>
            </w:r>
          </w:p>
        </w:tc>
        <w:tc>
          <w:tcPr>
            <w:tcW w:type="dxa" w:w="2160"/>
          </w:tcPr>
          <w:p>
            <w:r>
              <w:t>Anemia (WHO)</w:t>
            </w:r>
          </w:p>
        </w:tc>
      </w:tr>
      <w:tr>
        <w:tc>
          <w:tcPr>
            <w:tcW w:type="dxa" w:w="2160"/>
          </w:tcPr>
          <w:p>
            <w:r>
              <w:t>Serum 25(OH)D, ng/mL (exposure)</w:t>
            </w:r>
          </w:p>
        </w:tc>
        <w:tc>
          <w:tcPr>
            <w:tcW w:type="dxa" w:w="2160"/>
          </w:tcPr>
          <w:p>
            <w:r>
              <w:t>17.6</w:t>
            </w:r>
          </w:p>
        </w:tc>
        <w:tc>
          <w:tcPr>
            <w:tcW w:type="dxa" w:w="2160"/>
          </w:tcPr>
          <w:p>
            <w:r>
              <w:t>17.7</w:t>
            </w:r>
          </w:p>
        </w:tc>
        <w:tc>
          <w:tcPr>
            <w:tcW w:type="dxa" w:w="2160"/>
          </w:tcPr>
          <w:p>
            <w:r>
              <w:t>16.3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46.7</w:t>
            </w:r>
          </w:p>
        </w:tc>
        <w:tc>
          <w:tcPr>
            <w:tcW w:type="dxa" w:w="2160"/>
          </w:tcPr>
          <w:p>
            <w:r>
              <w:t>52.3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50.3%</w:t>
            </w:r>
          </w:p>
        </w:tc>
        <w:tc>
          <w:tcPr>
            <w:tcW w:type="dxa" w:w="2160"/>
          </w:tcPr>
          <w:p>
            <w:r>
              <w:t>53.0%</w:t>
            </w:r>
          </w:p>
        </w:tc>
        <w:tc>
          <w:tcPr>
            <w:tcW w:type="dxa" w:w="2160"/>
          </w:tcPr>
          <w:p>
            <w:r>
              <w:t>20.3%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46.8%</w:t>
            </w:r>
          </w:p>
        </w:tc>
        <w:tc>
          <w:tcPr>
            <w:tcW w:type="dxa" w:w="2160"/>
          </w:tcPr>
          <w:p>
            <w:r>
              <w:t>24.5%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91.3%</w:t>
            </w:r>
          </w:p>
        </w:tc>
        <w:tc>
          <w:tcPr>
            <w:tcW w:type="dxa" w:w="2160"/>
          </w:tcPr>
          <w:p>
            <w:r>
              <w:t>83.4%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