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Alanine aminotransferase, IU/L and Appendicular skeletal muscle, %</w:t>
      </w:r>
    </w:p>
    <w:p>
      <w:r>
        <w:t>KNHANES · Korea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Korea National Health and Nutrition Examination Survey, Alanine aminotransferase, IU/L was inversely associated with Appendicular skeletal muscle, % (beta coefficient per 1-SD -0.55 (95% CI -0.65 to -0.46), false discovery rate q &lt;0.001) among 6582 adults aged 20 years or older (survey-weighted). Confounders: Age, years, Male sex, Ever smoking (past/current), Ever alcohol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sex, Ever smoking (past/current), Ever alcohol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Alanine aminotransferase, IU/L</w:t>
            </w:r>
          </w:p>
        </w:tc>
        <w:tc>
          <w:tcPr>
            <w:tcW w:type="dxa" w:w="1234"/>
          </w:tcPr>
          <w:p>
            <w:r>
              <w:t>Appendicular skeletal muscle, %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-0.55 (95% CI -0.65 to -0.46)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6582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Alanine aminotransferase, IU/L (exposure)</w:t>
            </w:r>
          </w:p>
        </w:tc>
        <w:tc>
          <w:tcPr>
            <w:tcW w:type="dxa" w:w="4320"/>
          </w:tcPr>
          <w:p>
            <w:r>
              <w:t>22.6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45.6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49.1%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46.5%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88.5%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