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eGFR (CKD-EPI 2021), mL/min/1.73m2 and Appendicular skeletal muscle,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eGFR (CKD-EPI 2021), mL/min/1.73m2 was inversely associated with Appendicular skeletal muscle, % (beta coefficient per 1-SD -0.26 (95% CI -0.41 to -0.10), false discovery rate q 0.002) among 6582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-0.26 (95% CI -0.41 to -0.10)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eGFR (CKD-EPI 2021), mL/min/1.73m2 (exposure)</w:t>
            </w:r>
          </w:p>
        </w:tc>
        <w:tc>
          <w:tcPr>
            <w:tcW w:type="dxa" w:w="4320"/>
          </w:tcPr>
          <w:p>
            <w:r>
              <w:t>102.6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