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Appendicular skeletal muscle, % (beta coefficient per 1-SD 0.07 (95% CI -0.10 to 0.25), false discovery rate q 0.468)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-0.10 to 0.25)</w:t>
            </w:r>
          </w:p>
        </w:tc>
        <w:tc>
          <w:tcPr>
            <w:tcW w:type="dxa" w:w="1234"/>
          </w:tcPr>
          <w:p>
            <w:r>
              <w:t>0.417</w:t>
            </w:r>
          </w:p>
        </w:tc>
        <w:tc>
          <w:tcPr>
            <w:tcW w:type="dxa" w:w="1234"/>
          </w:tcPr>
          <w:p>
            <w:r>
              <w:t>0.468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