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Appendicular skeletal muscle mass, kg (beta coefficient -0.11 (95% CI -0.33 to 0.11), false discovery rate q 0.368) among 6585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-0.33 to 0.11)</w:t>
            </w:r>
          </w:p>
        </w:tc>
        <w:tc>
          <w:tcPr>
            <w:tcW w:type="dxa" w:w="1234"/>
          </w:tcPr>
          <w:p>
            <w:r>
              <w:t>0.319</w:t>
            </w:r>
          </w:p>
        </w:tc>
        <w:tc>
          <w:tcPr>
            <w:tcW w:type="dxa" w:w="1234"/>
          </w:tcPr>
          <w:p>
            <w:r>
              <w:t>0.368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