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Appendicular skeletal muscle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Leukocytosis (WBC&gt;11) was inversely associated with Appendicular skeletal muscle mass, kg (beta coefficient -0.56 (95% CI -1.17 to 0.06), false discovery rate q 0.097) among 6585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-0.56 (95% CI -1.17 to 0.06)</w:t>
            </w:r>
          </w:p>
        </w:tc>
        <w:tc>
          <w:tcPr>
            <w:tcW w:type="dxa" w:w="1234"/>
          </w:tcPr>
          <w:p>
            <w:r>
              <w:t>0.076</w:t>
            </w:r>
          </w:p>
        </w:tc>
        <w:tc>
          <w:tcPr>
            <w:tcW w:type="dxa" w:w="1234"/>
          </w:tcPr>
          <w:p>
            <w:r>
              <w:t>0.097</w:t>
            </w:r>
          </w:p>
        </w:tc>
        <w:tc>
          <w:tcPr>
            <w:tcW w:type="dxa" w:w="1234"/>
          </w:tcPr>
          <w:p>
            <w:r>
              <w:t>6585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Leukocytosis (WBC&gt;11) (exposure)</w:t>
            </w:r>
          </w:p>
        </w:tc>
        <w:tc>
          <w:tcPr>
            <w:tcW w:type="dxa" w:w="4320"/>
          </w:tcPr>
          <w:p>
            <w:r>
              <w:t>1.3%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