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Appendicular skeletal muscle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White blood cell count, 10^3/uL was positively associated with Appendicular skeletal muscle mass, kg (beta coefficient per 1-SD 0.10 (95% CI 0.01 to 0.18), false discovery rate q 0.047)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0.10 (95% CI 0.01 to 0.18)</w:t>
            </w:r>
          </w:p>
        </w:tc>
        <w:tc>
          <w:tcPr>
            <w:tcW w:type="dxa" w:w="1234"/>
          </w:tcPr>
          <w:p>
            <w:r>
              <w:t>0.035</w:t>
            </w:r>
          </w:p>
        </w:tc>
        <w:tc>
          <w:tcPr>
            <w:tcW w:type="dxa" w:w="1234"/>
          </w:tcPr>
          <w:p>
            <w:r>
              <w:t>0.047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White blood cell count, 10^3/uL (exposure)</w:t>
            </w:r>
          </w:p>
        </w:tc>
        <w:tc>
          <w:tcPr>
            <w:tcW w:type="dxa" w:w="4320"/>
          </w:tcPr>
          <w:p>
            <w:r>
              <w:t>6.2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