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Age, years and Aspartate aminotransferase, IU/L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Age, years was positively associated with Aspartate aminotransferase, IU/L (beta coefficient per 1-SD 1.51 (95% CI 1.36 to 1.65), false discovery rate q &lt;0.001) among 35817 adults aged 20 years or older (survey-weighted).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1.51 (95% CI 1.36 to 1.65)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35817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Age, years (exposure)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