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Anemia (WHO) and Aspartate aminotransferase, IU/L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Anemia (WHO) was inversely associated with Aspartate aminotransferase, IU/L (beta coefficient -0.56 (95% CI -1.11 to -0.01), false discovery rate q 0.063) among 35817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Aspartate aminotransferase,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-0.56 (95% CI -1.11 to -0.01)</w:t>
            </w:r>
          </w:p>
        </w:tc>
        <w:tc>
          <w:tcPr>
            <w:tcW w:type="dxa" w:w="1234"/>
          </w:tcPr>
          <w:p>
            <w:r>
              <w:t>0.048</w:t>
            </w:r>
          </w:p>
        </w:tc>
        <w:tc>
          <w:tcPr>
            <w:tcW w:type="dxa" w:w="1234"/>
          </w:tcPr>
          <w:p>
            <w:r>
              <w:t>0.063</w:t>
            </w:r>
          </w:p>
        </w:tc>
        <w:tc>
          <w:tcPr>
            <w:tcW w:type="dxa" w:w="1234"/>
          </w:tcPr>
          <w:p>
            <w:r>
              <w:t>35817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Anemia (WHO) (exposure)</w:t>
            </w:r>
          </w:p>
        </w:tc>
        <w:tc>
          <w:tcPr>
            <w:tcW w:type="dxa" w:w="4320"/>
          </w:tcPr>
          <w:p>
            <w:r>
              <w:t>8.5%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