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Aspartate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Body mass index, kg/m2 was positively associated with Aspartate aminotransferase, IU/L (beta coefficient per 1-SD 1.84 (95% CI 1.62 to 2.07), false discovery rate q &lt;0.001) among 35817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1.84 (95% CI 1.62 to 2.07)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mass index, kg/m2 (exposure)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