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Dyslipidemia (KSoLA composite) and Aspartate aminotransferase, IU/L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Dyslipidemia (KSoLA composite) was positively associated with Aspartate aminotransferase, IU/L (beta coefficient 1.46 (95% CI 1.08 to 1.84), false discovery rate q &lt;0.001) among 35817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1.46 (95% CI 1.08 to 1.84)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35817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Dyslipidemia (KSoLA composite) (exposure)</w:t>
            </w:r>
          </w:p>
        </w:tc>
        <w:tc>
          <w:tcPr>
            <w:tcW w:type="dxa" w:w="4320"/>
          </w:tcPr>
          <w:p>
            <w:r>
              <w:t>49.3%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