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inversely associated with Aspartate aminotransferase, IU/L (beta coefficient per 1-SD -0.19 (95% CI -0.48 to 0.10), false discovery rate q 0.240) among 35817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-0.19 (95% CI -0.48 to 0.10)</w:t>
            </w:r>
          </w:p>
        </w:tc>
        <w:tc>
          <w:tcPr>
            <w:tcW w:type="dxa" w:w="1234"/>
          </w:tcPr>
          <w:p>
            <w:r>
              <w:t>0.201</w:t>
            </w:r>
          </w:p>
        </w:tc>
        <w:tc>
          <w:tcPr>
            <w:tcW w:type="dxa" w:w="1234"/>
          </w:tcPr>
          <w:p>
            <w:r>
              <w:t>0.240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164.6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