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inversely associated with Aspartate aminotransferase, IU/L (beta coefficient -0.27 (95% CI -1.36 to 0.81), false discovery rate q 0.666) among 35817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-0.27 (95% CI -1.36 to 0.81)</w:t>
            </w:r>
          </w:p>
        </w:tc>
        <w:tc>
          <w:tcPr>
            <w:tcW w:type="dxa" w:w="1234"/>
          </w:tcPr>
          <w:p>
            <w:r>
              <w:t>0.623</w:t>
            </w:r>
          </w:p>
        </w:tc>
        <w:tc>
          <w:tcPr>
            <w:tcW w:type="dxa" w:w="1234"/>
          </w:tcPr>
          <w:p>
            <w:r>
              <w:t>0.666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12.1%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