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Lumbar spine BMD, g/cm2 and Aspartate aminotransferase, IU/L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Lumbar spine BMD, g/cm2 was inversely associated with Aspartate aminotransferase, IU/L (beta coefficient per 1-SD -0.35 (95% CI -0.71 to 0.00), false discovery rate q 0.070) among 35817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-0.35 (95% CI -0.71 to 0.00)</w:t>
            </w:r>
          </w:p>
        </w:tc>
        <w:tc>
          <w:tcPr>
            <w:tcW w:type="dxa" w:w="1234"/>
          </w:tcPr>
          <w:p>
            <w:r>
              <w:t>0.054</w:t>
            </w:r>
          </w:p>
        </w:tc>
        <w:tc>
          <w:tcPr>
            <w:tcW w:type="dxa" w:w="1234"/>
          </w:tcPr>
          <w:p>
            <w:r>
              <w:t>0.070</w:t>
            </w:r>
          </w:p>
        </w:tc>
        <w:tc>
          <w:tcPr>
            <w:tcW w:type="dxa" w:w="1234"/>
          </w:tcPr>
          <w:p>
            <w:r>
              <w:t>35817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Lumbar spine BMD, g/cm2 (exposure)</w:t>
            </w:r>
          </w:p>
        </w:tc>
        <w:tc>
          <w:tcPr>
            <w:tcW w:type="dxa" w:w="4320"/>
          </w:tcPr>
          <w:p>
            <w:r>
              <w:t>0.9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