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Metabolic syndrome and Aspartate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Metabolic syndrome was positively associated with Aspartate aminotransferase, IU/L (beta coefficient 2.30 (95% CI 1.80 to 2.80), false discovery rate q &lt;0.001) among 35817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2.30 (95% CI 1.80 to 2.80)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35817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Metabolic syndrome (exposure)</w:t>
            </w:r>
          </w:p>
        </w:tc>
        <w:tc>
          <w:tcPr>
            <w:tcW w:type="dxa" w:w="4320"/>
          </w:tcPr>
          <w:p>
            <w:r>
              <w:t>27.0%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