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Aspartate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Osteoporosis (T-score&lt;=-2.5, age&gt;=50) was positively associated with Aspartate aminotransferase, IU/L (beta coefficient 0.80 (95% CI -0.59 to 2.19), false discovery rate q 0.304) among 35817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0.80 (95% CI -0.59 to 2.19)</w:t>
            </w:r>
          </w:p>
        </w:tc>
        <w:tc>
          <w:tcPr>
            <w:tcW w:type="dxa" w:w="1234"/>
          </w:tcPr>
          <w:p>
            <w:r>
              <w:t>0.259</w:t>
            </w:r>
          </w:p>
        </w:tc>
        <w:tc>
          <w:tcPr>
            <w:tcW w:type="dxa" w:w="1234"/>
          </w:tcPr>
          <w:p>
            <w:r>
              <w:t>0.304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Osteoporosis (T-score&lt;=-2.5, age&gt;=50) (exposure)</w:t>
            </w:r>
          </w:p>
        </w:tc>
        <w:tc>
          <w:tcPr>
            <w:tcW w:type="dxa" w:w="4320"/>
          </w:tcPr>
          <w:p>
            <w:r>
              <w:t>30.0%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