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Aspartate aminotransferase, IU/L (beta coefficient per 1-SD 0.15 (95% CI -0.10 to 0.40), false discovery rate q 0.274)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-0.10 to 0.40)</w:t>
            </w:r>
          </w:p>
        </w:tc>
        <w:tc>
          <w:tcPr>
            <w:tcW w:type="dxa" w:w="1234"/>
          </w:tcPr>
          <w:p>
            <w:r>
              <w:t>0.232</w:t>
            </w:r>
          </w:p>
        </w:tc>
        <w:tc>
          <w:tcPr>
            <w:tcW w:type="dxa" w:w="1234"/>
          </w:tcPr>
          <w:p>
            <w:r>
              <w:t>0.274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