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Aspartate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Total fat mass, kg was positively associated with Aspartate aminotransferase, IU/L (beta coefficient per 1-SD 1.39 (95% CI 1.00 to 1.77), false discovery rate q &lt;0.001) among 35817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1.39 (95% CI 1.00 to 1.77)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fat mass, kg (exposure)</w:t>
            </w:r>
          </w:p>
        </w:tc>
        <w:tc>
          <w:tcPr>
            <w:tcW w:type="dxa" w:w="4320"/>
          </w:tcPr>
          <w:p>
            <w:r>
              <w:t>17.4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