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inversely associated with Aspartate aminotransferase, IU/L (beta coefficient per 1-SD -0.21 (95% CI -0.42 to 0.01), false discovery rate q 0.080)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-0.21 (95% CI -0.42 to 0.01)</w:t>
            </w:r>
          </w:p>
        </w:tc>
        <w:tc>
          <w:tcPr>
            <w:tcW w:type="dxa" w:w="1234"/>
          </w:tcPr>
          <w:p>
            <w:r>
              <w:t>0.062</w:t>
            </w:r>
          </w:p>
        </w:tc>
        <w:tc>
          <w:tcPr>
            <w:tcW w:type="dxa" w:w="1234"/>
          </w:tcPr>
          <w:p>
            <w:r>
              <w:t>0.080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