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Atherogenic dyslipidemia (high TG + low HDL) (odds ratio 2.68 (95% CI 2.49 to 2.90), false discovery rate q &lt;0.001) among 34795 adults aged 20 years or older (a weighted Atherogenic dyslipidemia (high TG + low HDL) prevalence of 15.0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2.68 (95% CI 2.49 to 2.90)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29.8%</w:t>
            </w:r>
          </w:p>
        </w:tc>
        <w:tc>
          <w:tcPr>
            <w:tcW w:type="dxa" w:w="2160"/>
          </w:tcPr>
          <w:p>
            <w:r>
              <w:t>26.1%</w:t>
            </w:r>
          </w:p>
        </w:tc>
        <w:tc>
          <w:tcPr>
            <w:tcW w:type="dxa" w:w="2160"/>
          </w:tcPr>
          <w:p>
            <w:r>
              <w:t>50.9%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