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inversely associated with Atherogenic dyslipidemia (high TG + low HDL) (odds ratio per 1-SD 1.00 (95% CI 0.94 to 1.06), false discovery rate q 0.923) among 34795 adults aged 20 years or older (a weighted Atherogenic dyslipidemia (high TG + low HDL) prevalence of 15.0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0.94 to 1.06)</w:t>
            </w:r>
          </w:p>
        </w:tc>
        <w:tc>
          <w:tcPr>
            <w:tcW w:type="dxa" w:w="1234"/>
          </w:tcPr>
          <w:p>
            <w:r>
              <w:t>0.909</w:t>
            </w:r>
          </w:p>
        </w:tc>
        <w:tc>
          <w:tcPr>
            <w:tcW w:type="dxa" w:w="1234"/>
          </w:tcPr>
          <w:p>
            <w:r>
              <w:t>0.923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164.6</w:t>
            </w:r>
          </w:p>
        </w:tc>
        <w:tc>
          <w:tcPr>
            <w:tcW w:type="dxa" w:w="2160"/>
          </w:tcPr>
          <w:p>
            <w:r>
              <w:t>164.7</w:t>
            </w:r>
          </w:p>
        </w:tc>
        <w:tc>
          <w:tcPr>
            <w:tcW w:type="dxa" w:w="2160"/>
          </w:tcPr>
          <w:p>
            <w:r>
              <w:t>164.2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