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Atherogenic dyslipidemia (high TG + low HDL)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Serum 25(OH)D, ng/mL was inversely associated with Atherogenic dyslipidemia (high TG + low HDL) (odds ratio per 1-SD 0.91 (95% CI 0.85 to 0.97), false discovery rate q 0.010) among 34795 adults aged 20 years or older (a weighted Atherogenic dyslipidemia (high TG + low HDL) prevalence of 15.0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0.91 (95% CI 0.85 to 0.97)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0.010</w:t>
            </w:r>
          </w:p>
        </w:tc>
        <w:tc>
          <w:tcPr>
            <w:tcW w:type="dxa" w:w="1234"/>
          </w:tcPr>
          <w:p>
            <w:r>
              <w:t>34795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Serum 25(OH)D, ng/mL (exposure)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  <w:tc>
          <w:tcPr>
            <w:tcW w:type="dxa" w:w="2160"/>
          </w:tcPr>
          <w:p>
            <w:r>
              <w:t>17.5</w:t>
            </w:r>
          </w:p>
        </w:tc>
        <w:tc>
          <w:tcPr>
            <w:tcW w:type="dxa" w:w="2160"/>
          </w:tcPr>
          <w:p>
            <w:r>
              <w:t>17.6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46.4</w:t>
            </w:r>
          </w:p>
        </w:tc>
        <w:tc>
          <w:tcPr>
            <w:tcW w:type="dxa" w:w="2160"/>
          </w:tcPr>
          <w:p>
            <w:r>
              <w:t>51.1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49.5%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23.6</w:t>
            </w:r>
          </w:p>
        </w:tc>
        <w:tc>
          <w:tcPr>
            <w:tcW w:type="dxa" w:w="2160"/>
          </w:tcPr>
          <w:p>
            <w:r>
              <w:t>25.8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50.5%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