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Total cholesterol, mg/dL and Atherogenic dyslipidemia (high TG + low HDL)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Total cholesterol, mg/dL was positively associated with Atherogenic dyslipidemia (high TG + low HDL) (odds ratio per 1-SD 1.19 (95% CI 1.15 to 1.23), false discovery rate q &lt;0.001) among 34795 adults aged 20 years or older (a weighted Atherogenic dyslipidemia (high TG + low HDL) prevalence of 15.0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Total cholesterol, mg/dL</w:t>
            </w:r>
          </w:p>
        </w:tc>
        <w:tc>
          <w:tcPr>
            <w:tcW w:type="dxa" w:w="1234"/>
          </w:tcPr>
          <w:p>
            <w:r>
              <w:t>Atherogenic dyslipidemia (high TG + low HDL)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1.19 (95% CI 1.15 to 1.23)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34795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Atherogenic dyslipidemia (high TG + low HDL)</w:t>
            </w:r>
          </w:p>
        </w:tc>
        <w:tc>
          <w:tcPr>
            <w:tcW w:type="dxa" w:w="2160"/>
          </w:tcPr>
          <w:p>
            <w:r>
              <w:t>Atherogenic dyslipidemia (high TG + low HDL)</w:t>
            </w:r>
          </w:p>
        </w:tc>
      </w:tr>
      <w:tr>
        <w:tc>
          <w:tcPr>
            <w:tcW w:type="dxa" w:w="2160"/>
          </w:tcPr>
          <w:p>
            <w:r>
              <w:t>Total cholesterol, mg/dL (exposure)</w:t>
            </w:r>
          </w:p>
        </w:tc>
        <w:tc>
          <w:tcPr>
            <w:tcW w:type="dxa" w:w="2160"/>
          </w:tcPr>
          <w:p>
            <w:r>
              <w:t>189.8</w:t>
            </w:r>
          </w:p>
        </w:tc>
        <w:tc>
          <w:tcPr>
            <w:tcW w:type="dxa" w:w="2160"/>
          </w:tcPr>
          <w:p>
            <w:r>
              <w:t>188.5</w:t>
            </w:r>
          </w:p>
        </w:tc>
        <w:tc>
          <w:tcPr>
            <w:tcW w:type="dxa" w:w="2160"/>
          </w:tcPr>
          <w:p>
            <w:r>
              <w:t>197.1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47.1</w:t>
            </w:r>
          </w:p>
        </w:tc>
        <w:tc>
          <w:tcPr>
            <w:tcW w:type="dxa" w:w="2160"/>
          </w:tcPr>
          <w:p>
            <w:r>
              <w:t>46.4</w:t>
            </w:r>
          </w:p>
        </w:tc>
        <w:tc>
          <w:tcPr>
            <w:tcW w:type="dxa" w:w="2160"/>
          </w:tcPr>
          <w:p>
            <w:r>
              <w:t>51.1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50.0%</w:t>
            </w:r>
          </w:p>
        </w:tc>
        <w:tc>
          <w:tcPr>
            <w:tcW w:type="dxa" w:w="2160"/>
          </w:tcPr>
          <w:p>
            <w:r>
              <w:t>49.5%</w:t>
            </w:r>
          </w:p>
        </w:tc>
        <w:tc>
          <w:tcPr>
            <w:tcW w:type="dxa" w:w="2160"/>
          </w:tcPr>
          <w:p>
            <w:r>
              <w:t>53.0%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23.6</w:t>
            </w:r>
          </w:p>
        </w:tc>
        <w:tc>
          <w:tcPr>
            <w:tcW w:type="dxa" w:w="2160"/>
          </w:tcPr>
          <w:p>
            <w:r>
              <w:t>25.8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44.6%</w:t>
            </w:r>
          </w:p>
        </w:tc>
        <w:tc>
          <w:tcPr>
            <w:tcW w:type="dxa" w:w="2160"/>
          </w:tcPr>
          <w:p>
            <w:r>
              <w:t>43.6%</w:t>
            </w:r>
          </w:p>
        </w:tc>
        <w:tc>
          <w:tcPr>
            <w:tcW w:type="dxa" w:w="2160"/>
          </w:tcPr>
          <w:p>
            <w:r>
              <w:t>50.5%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91.3%</w:t>
            </w:r>
          </w:p>
        </w:tc>
        <w:tc>
          <w:tcPr>
            <w:tcW w:type="dxa" w:w="2160"/>
          </w:tcPr>
          <w:p>
            <w:r>
              <w:t>86.9%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