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Chronic kidney disease (KDIGO: eGFR&lt;60 or ACR&gt;=30) and Body fat, %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Chronic kidney disease (KDIGO: eGFR&lt;60 or ACR&gt;=30) was positively associated with Body fat, % (beta coefficient 1.32 (95% CI -0.08 to 2.72), false discovery rate q 0.089) among 6582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1.32 (95% CI -0.08 to 2.72)</w:t>
            </w:r>
          </w:p>
        </w:tc>
        <w:tc>
          <w:tcPr>
            <w:tcW w:type="dxa" w:w="1234"/>
          </w:tcPr>
          <w:p>
            <w:r>
              <w:t>0.070</w:t>
            </w:r>
          </w:p>
        </w:tc>
        <w:tc>
          <w:tcPr>
            <w:tcW w:type="dxa" w:w="1234"/>
          </w:tcPr>
          <w:p>
            <w:r>
              <w:t>0.089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Chronic kidney disease (KDIGO: eGFR&lt;60 or ACR&gt;=30) (exposure)</w:t>
            </w:r>
          </w:p>
        </w:tc>
        <w:tc>
          <w:tcPr>
            <w:tcW w:type="dxa" w:w="4320"/>
          </w:tcPr>
          <w:p>
            <w:r>
              <w:t>6.6%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