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Body mass index, kg/m2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Alanine aminotransferase, IU/L was positively associated with Body mass index, kg/m2 (beta coefficient per 1-SD 1.07 (95% CI 0.91 to 1.23), false discovery rate q &lt;0.001) among 37315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1.07 (95% CI 0.91 to 1.23)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Alanine aminotransferase, IU/L (exposure)</w:t>
            </w:r>
          </w:p>
        </w:tc>
        <w:tc>
          <w:tcPr>
            <w:tcW w:type="dxa" w:w="4320"/>
          </w:tcPr>
          <w:p>
            <w:r>
              <w:t>23.1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