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Body mass index,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Aspartate aminotransferase, IU/L was positively associated with Body mass index, kg/m2 (beta coefficient per 1-SD 0.50 (95% CI 0.37 to 0.63), false discovery rate q &lt;0.001) among 37315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0.50 (95% CI 0.37 to 0.63)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23.1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