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Atherogenic dyslipidemia (high TG + low HDL) and Body mass index, kg/m2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Atherogenic dyslipidemia (high TG + low HDL) was positively associated with Body mass index, kg/m2 (beta coefficient 2.00 (95% CI 1.87 to 2.13), false discovery rate q &lt;0.001) among 37315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2.00 (95% CI 1.87 to 2.13)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Atherogenic dyslipidemia (high TG + low HDL) (exposure)</w:t>
            </w:r>
          </w:p>
        </w:tc>
        <w:tc>
          <w:tcPr>
            <w:tcW w:type="dxa" w:w="4320"/>
          </w:tcPr>
          <w:p>
            <w:r>
              <w:t>15.0%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49.9%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90.3%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