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Diabetes mellitus and Body mass index, kg/m2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Diabetes mellitus was positively associated with Body mass index, kg/m2 (beta coefficient 1.67 (95% CI 1.51 to 1.83), false discovery rate q &lt;0.001) among 37315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Diabetes mellitus</w:t>
            </w:r>
          </w:p>
        </w:tc>
        <w:tc>
          <w:tcPr>
            <w:tcW w:type="dxa" w:w="1234"/>
          </w:tcPr>
          <w:p>
            <w:r>
              <w:t>Body mass index, kg/m2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1.67 (95% CI 1.51 to 1.83)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37315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Diabetes mellitus (exposure)</w:t>
            </w:r>
          </w:p>
        </w:tc>
        <w:tc>
          <w:tcPr>
            <w:tcW w:type="dxa" w:w="4320"/>
          </w:tcPr>
          <w:p>
            <w:r>
              <w:t>11.7%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49.9%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90.3%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