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Body mass index,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Leukocytosis (WBC&gt;11) was positively associated with Body mass index, kg/m2 (beta coefficient 1.00 (95% CI 0.53 to 1.47), false discovery rate q &lt;0.001) among 37315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1.00 (95% CI 0.53 to 1.47)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1.6%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