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Prediabetes was positively associated with Body mass index, kg/m2 (beta coefficient 1.08 (95% CI 0.98 to 1.18),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1.08 (95% CI 0.98 to 1.18)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