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Central obesity (WHtR&gt;=0.5) (odds ratio 1.01 (95% CI 0.93 to 1.09), false discovery rate q 0.855) among 37073 adults aged 20 years or older (a weighted Central obesity (WHtR&gt;=0.5) prevalence of 50.2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0.93 to 1.09)</w:t>
            </w:r>
          </w:p>
        </w:tc>
        <w:tc>
          <w:tcPr>
            <w:tcW w:type="dxa" w:w="1234"/>
          </w:tcPr>
          <w:p>
            <w:r>
              <w:t>0.829</w:t>
            </w:r>
          </w:p>
        </w:tc>
        <w:tc>
          <w:tcPr>
            <w:tcW w:type="dxa" w:w="1234"/>
          </w:tcPr>
          <w:p>
            <w:r>
              <w:t>0.855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22.3%</w:t>
            </w:r>
          </w:p>
        </w:tc>
        <w:tc>
          <w:tcPr>
            <w:tcW w:type="dxa" w:w="2160"/>
          </w:tcPr>
          <w:p>
            <w:r>
              <w:t>23.0%</w:t>
            </w:r>
          </w:p>
        </w:tc>
        <w:tc>
          <w:tcPr>
            <w:tcW w:type="dxa" w:w="2160"/>
          </w:tcPr>
          <w:p>
            <w:r>
              <w:t>21.5%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