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Central obesity (WHtR&gt;=0.5) (odds ratio 2.66 (95% CI 2.49 to 2.84),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2.66 (95% CI 2.49 to 2.84)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27.1%</w:t>
            </w:r>
          </w:p>
        </w:tc>
        <w:tc>
          <w:tcPr>
            <w:tcW w:type="dxa" w:w="2160"/>
          </w:tcPr>
          <w:p>
            <w:r>
              <w:t>13.1%</w:t>
            </w:r>
          </w:p>
        </w:tc>
        <w:tc>
          <w:tcPr>
            <w:tcW w:type="dxa" w:w="2160"/>
          </w:tcPr>
          <w:p>
            <w:r>
              <w:t>41.0%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