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25(OH)D, ng/mL and Central obesity (WHtR&gt;=0.5)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Serum 25(OH)D, ng/mL was positively associated with Central obesity (WHtR&gt;=0.5) (odds ratio per 1-SD 1.01 (95% CI 0.96 to 1.06), false discovery rate q 0.666) among 37073 adults aged 20 years or older (a weighted Central obesity (WHtR&gt;=0.5) prevalence of 50.2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Central obesity (WHtR&gt;=0.5)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1.01 (95% CI 0.96 to 1.06)</w:t>
            </w:r>
          </w:p>
        </w:tc>
        <w:tc>
          <w:tcPr>
            <w:tcW w:type="dxa" w:w="1234"/>
          </w:tcPr>
          <w:p>
            <w:r>
              <w:t>0.623</w:t>
            </w:r>
          </w:p>
        </w:tc>
        <w:tc>
          <w:tcPr>
            <w:tcW w:type="dxa" w:w="1234"/>
          </w:tcPr>
          <w:p>
            <w:r>
              <w:t>0.666</w:t>
            </w:r>
          </w:p>
        </w:tc>
        <w:tc>
          <w:tcPr>
            <w:tcW w:type="dxa" w:w="1234"/>
          </w:tcPr>
          <w:p>
            <w:r>
              <w:t>37073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Central obesity (WHtR&gt;=0.5)</w:t>
            </w:r>
          </w:p>
        </w:tc>
        <w:tc>
          <w:tcPr>
            <w:tcW w:type="dxa" w:w="2160"/>
          </w:tcPr>
          <w:p>
            <w:r>
              <w:t>Central obesity (WHtR&gt;=0.5)</w:t>
            </w:r>
          </w:p>
        </w:tc>
      </w:tr>
      <w:tr>
        <w:tc>
          <w:tcPr>
            <w:tcW w:type="dxa" w:w="2160"/>
          </w:tcPr>
          <w:p>
            <w:r>
              <w:t>Serum 25(OH)D, ng/mL (exposure)</w:t>
            </w:r>
          </w:p>
        </w:tc>
        <w:tc>
          <w:tcPr>
            <w:tcW w:type="dxa" w:w="2160"/>
          </w:tcPr>
          <w:p>
            <w:r>
              <w:t>17.5</w:t>
            </w:r>
          </w:p>
        </w:tc>
        <w:tc>
          <w:tcPr>
            <w:tcW w:type="dxa" w:w="2160"/>
          </w:tcPr>
          <w:p>
            <w:r>
              <w:t>17.0</w:t>
            </w:r>
          </w:p>
        </w:tc>
        <w:tc>
          <w:tcPr>
            <w:tcW w:type="dxa" w:w="2160"/>
          </w:tcPr>
          <w:p>
            <w:r>
              <w:t>18.1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41.5</w:t>
            </w:r>
          </w:p>
        </w:tc>
        <w:tc>
          <w:tcPr>
            <w:tcW w:type="dxa" w:w="2160"/>
          </w:tcPr>
          <w:p>
            <w:r>
              <w:t>53.2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52.0%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46.9%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90.3%</w:t>
            </w:r>
          </w:p>
        </w:tc>
        <w:tc>
          <w:tcPr>
            <w:tcW w:type="dxa" w:w="2160"/>
          </w:tcPr>
          <w:p>
            <w:r>
              <w:t>93.2%</w:t>
            </w:r>
          </w:p>
        </w:tc>
        <w:tc>
          <w:tcPr>
            <w:tcW w:type="dxa" w:w="2160"/>
          </w:tcPr>
          <w:p>
            <w:r>
              <w:t>87.4%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