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Central obesity (WHtR&gt;=0.5) (odds ratio 1.02 (95% CI 0.92 to 1.14), false discovery rate q 0.736)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0.92 to 1.14)</w:t>
            </w:r>
          </w:p>
        </w:tc>
        <w:tc>
          <w:tcPr>
            <w:tcW w:type="dxa" w:w="1234"/>
          </w:tcPr>
          <w:p>
            <w:r>
              <w:t>0.697</w:t>
            </w:r>
          </w:p>
        </w:tc>
        <w:tc>
          <w:tcPr>
            <w:tcW w:type="dxa" w:w="1234"/>
          </w:tcPr>
          <w:p>
            <w:r>
              <w:t>0.736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73.2%</w:t>
            </w:r>
          </w:p>
        </w:tc>
        <w:tc>
          <w:tcPr>
            <w:tcW w:type="dxa" w:w="2160"/>
          </w:tcPr>
          <w:p>
            <w:r>
              <w:t>67.0%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