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White blood cell count, 10^3/uL and Central obesity (WHtR&gt;=0.5)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White blood cell count, 10^3/uL was positively associated with Central obesity (WHtR&gt;=0.5) (odds ratio per 1-SD 1.52 (95% CI 1.47 to 1.58), false discovery rate q &lt;0.001) among 37073 adults aged 20 years or older (a weighted Central obesity (WHtR&gt;=0.5) prevalence of 50.2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White blood cell count, 10^3/uL</w:t>
            </w:r>
          </w:p>
        </w:tc>
        <w:tc>
          <w:tcPr>
            <w:tcW w:type="dxa" w:w="1234"/>
          </w:tcPr>
          <w:p>
            <w:r>
              <w:t>Central obesity (WHtR&gt;=0.5)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1.52 (95% CI 1.47 to 1.58)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37073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Central obesity (WHtR&gt;=0.5)</w:t>
            </w:r>
          </w:p>
        </w:tc>
        <w:tc>
          <w:tcPr>
            <w:tcW w:type="dxa" w:w="2160"/>
          </w:tcPr>
          <w:p>
            <w:r>
              <w:t>Central obesity (WHtR&gt;=0.5)</w:t>
            </w:r>
          </w:p>
        </w:tc>
      </w:tr>
      <w:tr>
        <w:tc>
          <w:tcPr>
            <w:tcW w:type="dxa" w:w="2160"/>
          </w:tcPr>
          <w:p>
            <w:r>
              <w:t>White blood cell count, 10^3/uL (exposure)</w:t>
            </w:r>
          </w:p>
        </w:tc>
        <w:tc>
          <w:tcPr>
            <w:tcW w:type="dxa" w:w="2160"/>
          </w:tcPr>
          <w:p>
            <w:r>
              <w:t>6.3</w:t>
            </w:r>
          </w:p>
        </w:tc>
        <w:tc>
          <w:tcPr>
            <w:tcW w:type="dxa" w:w="2160"/>
          </w:tcPr>
          <w:p>
            <w:r>
              <w:t>6.0</w:t>
            </w:r>
          </w:p>
        </w:tc>
        <w:tc>
          <w:tcPr>
            <w:tcW w:type="dxa" w:w="2160"/>
          </w:tcPr>
          <w:p>
            <w:r>
              <w:t>6.5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41.5</w:t>
            </w:r>
          </w:p>
        </w:tc>
        <w:tc>
          <w:tcPr>
            <w:tcW w:type="dxa" w:w="2160"/>
          </w:tcPr>
          <w:p>
            <w:r>
              <w:t>53.2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49.9%</w:t>
            </w:r>
          </w:p>
        </w:tc>
        <w:tc>
          <w:tcPr>
            <w:tcW w:type="dxa" w:w="2160"/>
          </w:tcPr>
          <w:p>
            <w:r>
              <w:t>47.8%</w:t>
            </w:r>
          </w:p>
        </w:tc>
        <w:tc>
          <w:tcPr>
            <w:tcW w:type="dxa" w:w="2160"/>
          </w:tcPr>
          <w:p>
            <w:r>
              <w:t>52.0%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42.6%</w:t>
            </w:r>
          </w:p>
        </w:tc>
        <w:tc>
          <w:tcPr>
            <w:tcW w:type="dxa" w:w="2160"/>
          </w:tcPr>
          <w:p>
            <w:r>
              <w:t>46.9%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90.3%</w:t>
            </w:r>
          </w:p>
        </w:tc>
        <w:tc>
          <w:tcPr>
            <w:tcW w:type="dxa" w:w="2160"/>
          </w:tcPr>
          <w:p>
            <w:r>
              <w:t>93.2%</w:t>
            </w:r>
          </w:p>
        </w:tc>
        <w:tc>
          <w:tcPr>
            <w:tcW w:type="dxa" w:w="2160"/>
          </w:tcPr>
          <w:p>
            <w:r>
              <w:t>87.4%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