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ASM / height^2, kg/m2 and Chronic kidney disease (KDIGO: eGFR&lt;60 or ACR&gt;=30)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ASM / height^2, kg/m2 was positively associated with Chronic kidney disease (KDIGO: eGFR&lt;60 or ACR&gt;=30) (odds ratio per 1-SD 1.07 (95% CI 0.66 to 1.74), false discovery rate q 0.824) among 20173 adults aged 20 years or older (a weighted Chronic kidney disease (KDIGO: eGFR&lt;60 or ACR&gt;=30) prevalence of 7.7 percent, survey-weighted). Confounders: Age, years, Male sex, Ever smoking (past/current), Ever alcohol (past/current), Diabetes mellitus, Hypertension.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smoking, alcohol, diabetes and hypertension (major kidney-disease risk factors). Adjustment for this exposure: Age, years, Male sex, Ever smoking (past/current), Ever alcohol (past/current), Diabetes mellitus, Hypertension.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ASM / height^2, kg/m2</w:t>
            </w:r>
          </w:p>
        </w:tc>
        <w:tc>
          <w:tcPr>
            <w:tcW w:type="dxa" w:w="1234"/>
          </w:tcPr>
          <w:p>
            <w:r>
              <w:t>Chronic kidney disease (KDIGO: eGFR&lt;60 or ACR&gt;=30)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1.07 (95% CI 0.66 to 1.74)</w:t>
            </w:r>
          </w:p>
        </w:tc>
        <w:tc>
          <w:tcPr>
            <w:tcW w:type="dxa" w:w="1234"/>
          </w:tcPr>
          <w:p>
            <w:r>
              <w:t>0.792</w:t>
            </w:r>
          </w:p>
        </w:tc>
        <w:tc>
          <w:tcPr>
            <w:tcW w:type="dxa" w:w="1234"/>
          </w:tcPr>
          <w:p>
            <w:r>
              <w:t>0.824</w:t>
            </w:r>
          </w:p>
        </w:tc>
        <w:tc>
          <w:tcPr>
            <w:tcW w:type="dxa" w:w="1234"/>
          </w:tcPr>
          <w:p>
            <w:r>
              <w:t>20173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Chronic kidney disease (KDIGO: eGFR&lt;60 or ACR&gt;=30)</w:t>
            </w:r>
          </w:p>
        </w:tc>
        <w:tc>
          <w:tcPr>
            <w:tcW w:type="dxa" w:w="2160"/>
          </w:tcPr>
          <w:p>
            <w:r>
              <w:t>Chronic kidney disease (KDIGO: eGFR&lt;60 or ACR&gt;=30)</w:t>
            </w:r>
          </w:p>
        </w:tc>
      </w:tr>
      <w:tr>
        <w:tc>
          <w:tcPr>
            <w:tcW w:type="dxa" w:w="2160"/>
          </w:tcPr>
          <w:p>
            <w:r>
              <w:t>ASM / height^2, kg/m2 (exposure)</w:t>
            </w:r>
          </w:p>
        </w:tc>
        <w:tc>
          <w:tcPr>
            <w:tcW w:type="dxa" w:w="2160"/>
          </w:tcPr>
          <w:p>
            <w:r>
              <w:t>7.2</w:t>
            </w:r>
          </w:p>
        </w:tc>
        <w:tc>
          <w:tcPr>
            <w:tcW w:type="dxa" w:w="2160"/>
          </w:tcPr>
          <w:p>
            <w:r>
              <w:t>7.2</w:t>
            </w:r>
          </w:p>
        </w:tc>
        <w:tc>
          <w:tcPr>
            <w:tcW w:type="dxa" w:w="2160"/>
          </w:tcPr>
          <w:p>
            <w:r>
              <w:t>7.2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48.1</w:t>
            </w:r>
          </w:p>
        </w:tc>
        <w:tc>
          <w:tcPr>
            <w:tcW w:type="dxa" w:w="2160"/>
          </w:tcPr>
          <w:p>
            <w:r>
              <w:t>47.0</w:t>
            </w:r>
          </w:p>
        </w:tc>
        <w:tc>
          <w:tcPr>
            <w:tcW w:type="dxa" w:w="2160"/>
          </w:tcPr>
          <w:p>
            <w:r>
              <w:t>61.0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  <w:tc>
          <w:tcPr>
            <w:tcW w:type="dxa" w:w="2160"/>
          </w:tcPr>
          <w:p>
            <w:r>
              <w:t>49.8%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24.1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25.0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44.6%</w:t>
            </w:r>
          </w:p>
        </w:tc>
        <w:tc>
          <w:tcPr>
            <w:tcW w:type="dxa" w:w="2160"/>
          </w:tcPr>
          <w:p>
            <w:r>
              <w:t>46.5%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90.9%</w:t>
            </w:r>
          </w:p>
        </w:tc>
        <w:tc>
          <w:tcPr>
            <w:tcW w:type="dxa" w:w="2160"/>
          </w:tcPr>
          <w:p>
            <w:r>
              <w:t>91.6%</w:t>
            </w:r>
          </w:p>
        </w:tc>
        <w:tc>
          <w:tcPr>
            <w:tcW w:type="dxa" w:w="2160"/>
          </w:tcPr>
          <w:p>
            <w:r>
              <w:t>82.8%</w:t>
            </w:r>
          </w:p>
        </w:tc>
      </w:tr>
      <w:tr>
        <w:tc>
          <w:tcPr>
            <w:tcW w:type="dxa" w:w="2160"/>
          </w:tcPr>
          <w:p>
            <w:r>
              <w:t>Diabetes mellitus</w:t>
            </w:r>
          </w:p>
        </w:tc>
        <w:tc>
          <w:tcPr>
            <w:tcW w:type="dxa" w:w="2160"/>
          </w:tcPr>
          <w:p>
            <w:r>
              <w:t>12.9%</w:t>
            </w:r>
          </w:p>
        </w:tc>
        <w:tc>
          <w:tcPr>
            <w:tcW w:type="dxa" w:w="2160"/>
          </w:tcPr>
          <w:p>
            <w:r>
              <w:t>10.7%</w:t>
            </w:r>
          </w:p>
        </w:tc>
        <w:tc>
          <w:tcPr>
            <w:tcW w:type="dxa" w:w="2160"/>
          </w:tcPr>
          <w:p>
            <w:r>
              <w:t>39.2%</w:t>
            </w:r>
          </w:p>
        </w:tc>
      </w:tr>
      <w:tr>
        <w:tc>
          <w:tcPr>
            <w:tcW w:type="dxa" w:w="2160"/>
          </w:tcPr>
          <w:p>
            <w:r>
              <w:t>Hypertension</w:t>
            </w:r>
          </w:p>
        </w:tc>
        <w:tc>
          <w:tcPr>
            <w:tcW w:type="dxa" w:w="2160"/>
          </w:tcPr>
          <w:p>
            <w:r>
              <w:t>27.7%</w:t>
            </w:r>
          </w:p>
        </w:tc>
        <w:tc>
          <w:tcPr>
            <w:tcW w:type="dxa" w:w="2160"/>
          </w:tcPr>
          <w:p>
            <w:r>
              <w:t>24.6%</w:t>
            </w:r>
          </w:p>
        </w:tc>
        <w:tc>
          <w:tcPr>
            <w:tcW w:type="dxa" w:w="2160"/>
          </w:tcPr>
          <w:p>
            <w:r>
              <w:t>64.8%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