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Chronic kidney disease (KDIGO: eGFR&lt;60 or ACR&gt;=30) (odds ratio per 1-SD 0.90 (95% CI 0.56 to 1.45), false discovery rate q 0.713)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0.56 to 1.45)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  <w:tc>
          <w:tcPr>
            <w:tcW w:type="dxa" w:w="2160"/>
          </w:tcPr>
          <w:p>
            <w:r>
              <w:t>18.8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