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Chronic kidney disease (KDIGO: eGFR&lt;60 or ACR&gt;=30)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Chronic kidney disease (KDIGO: eGFR&lt;60 or ACR&gt;=30) (odds ratio 1.36 (95% CI 1.15 to 1.61), false discovery rate q &lt;0.001) among 20173 adults aged 20 years or older (a weighted Chronic kidney disease (KDIGO: eGFR&lt;60 or ACR&gt;=30) prevalence of 7.7 percent, survey-weighted). Confounders: Age, years, Male sex, Body mass index, kg/m2, Ever smoking (past/current), Ever alcohol (past/current), Diabetes mellitus, Hypertension.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smoking, alcohol, diabetes and hypertension (major kidney-disease risk factors). Adjustment for this exposure: Age, years, Male sex, Body mass index, kg/m2, Ever smoking (past/current), Ever alcohol (past/current), Diabetes mellitus, Hypertension.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Chronic kidney disease (KDIGO: eGFR&lt;60 or ACR&gt;=30)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1.36 (95% CI 1.15 to 1.61)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20173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Chronic kidney disease (KDIGO: eGFR&lt;60 or ACR&gt;=30)</w:t>
            </w:r>
          </w:p>
        </w:tc>
        <w:tc>
          <w:tcPr>
            <w:tcW w:type="dxa" w:w="2160"/>
          </w:tcPr>
          <w:p>
            <w:r>
              <w:t>Chronic kidney disease (KDIGO: eGFR&lt;60 or ACR&gt;=30)</w:t>
            </w:r>
          </w:p>
        </w:tc>
      </w:tr>
      <w:tr>
        <w:tc>
          <w:tcPr>
            <w:tcW w:type="dxa" w:w="2160"/>
          </w:tcPr>
          <w:p>
            <w:r>
              <w:t>Atherogenic dyslipidemia (high TG + low HDL) (exposure)</w:t>
            </w:r>
          </w:p>
        </w:tc>
        <w:tc>
          <w:tcPr>
            <w:tcW w:type="dxa" w:w="2160"/>
          </w:tcPr>
          <w:p>
            <w:r>
              <w:t>13.5%</w:t>
            </w:r>
          </w:p>
        </w:tc>
        <w:tc>
          <w:tcPr>
            <w:tcW w:type="dxa" w:w="2160"/>
          </w:tcPr>
          <w:p>
            <w:r>
              <w:t>12.8%</w:t>
            </w:r>
          </w:p>
        </w:tc>
        <w:tc>
          <w:tcPr>
            <w:tcW w:type="dxa" w:w="2160"/>
          </w:tcPr>
          <w:p>
            <w:r>
              <w:t>21.5%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61.0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49.8%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24.1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46.5%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90.9%</w:t>
            </w:r>
          </w:p>
        </w:tc>
        <w:tc>
          <w:tcPr>
            <w:tcW w:type="dxa" w:w="2160"/>
          </w:tcPr>
          <w:p>
            <w:r>
              <w:t>91.6%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12.9%</w:t>
            </w:r>
          </w:p>
        </w:tc>
        <w:tc>
          <w:tcPr>
            <w:tcW w:type="dxa" w:w="2160"/>
          </w:tcPr>
          <w:p>
            <w:r>
              <w:t>10.7%</w:t>
            </w:r>
          </w:p>
        </w:tc>
        <w:tc>
          <w:tcPr>
            <w:tcW w:type="dxa" w:w="2160"/>
          </w:tcPr>
          <w:p>
            <w:r>
              <w:t>39.2%</w:t>
            </w:r>
          </w:p>
        </w:tc>
      </w:tr>
      <w:tr>
        <w:tc>
          <w:tcPr>
            <w:tcW w:type="dxa" w:w="2160"/>
          </w:tcPr>
          <w:p>
            <w:r>
              <w:t>Hypertension</w:t>
            </w:r>
          </w:p>
        </w:tc>
        <w:tc>
          <w:tcPr>
            <w:tcW w:type="dxa" w:w="2160"/>
          </w:tcPr>
          <w:p>
            <w:r>
              <w:t>27.7%</w:t>
            </w:r>
          </w:p>
        </w:tc>
        <w:tc>
          <w:tcPr>
            <w:tcW w:type="dxa" w:w="2160"/>
          </w:tcPr>
          <w:p>
            <w:r>
              <w:t>24.6%</w:t>
            </w:r>
          </w:p>
        </w:tc>
        <w:tc>
          <w:tcPr>
            <w:tcW w:type="dxa" w:w="2160"/>
          </w:tcPr>
          <w:p>
            <w:r>
              <w:t>64.8%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