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Chronic kidney disease (KDIGO: eGFR&lt;60 or ACR&gt;=30) (odds ratio per 1-SD 1.29 (95% CI 0.82 to 2.03), false discovery rate q 0.313) among 20173 adults aged 20 years or older (a weighted Chronic kidney disease (KDIGO: eGFR&lt;60 or ACR&gt;=30) prevalence of 7.7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1.29 (95% CI 0.82 to 2.03)</w:t>
            </w:r>
          </w:p>
        </w:tc>
        <w:tc>
          <w:tcPr>
            <w:tcW w:type="dxa" w:w="1234"/>
          </w:tcPr>
          <w:p>
            <w:r>
              <w:t>0.268</w:t>
            </w:r>
          </w:p>
        </w:tc>
        <w:tc>
          <w:tcPr>
            <w:tcW w:type="dxa" w:w="1234"/>
          </w:tcPr>
          <w:p>
            <w:r>
              <w:t>0.313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27.2</w:t>
            </w:r>
          </w:p>
        </w:tc>
        <w:tc>
          <w:tcPr>
            <w:tcW w:type="dxa" w:w="2160"/>
          </w:tcPr>
          <w:p>
            <w:r>
              <w:t>27.1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