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Chronic kidney disease (KDIGO: eGFR&lt;60 or ACR&gt;=30) (odds ratio 1.19 (95% CI 1.00 to 1.43), false discovery rate q 0.072) among 20173 adults aged 20 years or older (a weighted Chronic kidney disease (KDIGO: eGFR&lt;60 or ACR&gt;=30) prevalence of 7.7 percent, survey-weighted). Confounders: Age, years, Male sex, Body mass index, kg/m2,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1.00 to 1.43)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21.4%</w:t>
            </w:r>
          </w:p>
        </w:tc>
        <w:tc>
          <w:tcPr>
            <w:tcW w:type="dxa" w:w="2160"/>
          </w:tcPr>
          <w:p>
            <w:r>
              <w:t>21.5%</w:t>
            </w:r>
          </w:p>
        </w:tc>
        <w:tc>
          <w:tcPr>
            <w:tcW w:type="dxa" w:w="2160"/>
          </w:tcPr>
          <w:p>
            <w:r>
              <w:t>19.9%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