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Chronic kidney disease (KDIGO: eGFR&lt;60 or ACR&gt;=30) (odds ratio 1.15 (95% CI 0.89 to 1.47), false discovery rate q 0.332)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0.89 to 1.47)</w:t>
            </w:r>
          </w:p>
        </w:tc>
        <w:tc>
          <w:tcPr>
            <w:tcW w:type="dxa" w:w="1234"/>
          </w:tcPr>
          <w:p>
            <w:r>
              <w:t>0.285</w:t>
            </w:r>
          </w:p>
        </w:tc>
        <w:tc>
          <w:tcPr>
            <w:tcW w:type="dxa" w:w="1234"/>
          </w:tcPr>
          <w:p>
            <w:r>
              <w:t>0.332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4.5%</w:t>
            </w:r>
          </w:p>
        </w:tc>
        <w:tc>
          <w:tcPr>
            <w:tcW w:type="dxa" w:w="2160"/>
          </w:tcPr>
          <w:p>
            <w:r>
              <w:t>6.9%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