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Chronic kidney disease (KDIGO: eGFR&lt;60 or ACR&gt;=30) (odds ratio per 1-SD 1.38 (95% CI 1.32 to 1.45), false discovery rate q &lt;0.001) among 20173 adults aged 20 years or older (a weighted Chronic kidney disease (KDIGO: eGFR&lt;60 or ACR&gt;=30) prevalence of 7.7 percent, survey-weighted). Confounders: Age, years, Male sex, Body mass index, kg/m2, Ever smoking (past/current), Ever alcohol (past/current),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1.38 (95% CI 1.32 to 1.45)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100.1</w:t>
            </w:r>
          </w:p>
        </w:tc>
        <w:tc>
          <w:tcPr>
            <w:tcW w:type="dxa" w:w="2160"/>
          </w:tcPr>
          <w:p>
            <w:r>
              <w:t>98.7</w:t>
            </w:r>
          </w:p>
        </w:tc>
        <w:tc>
          <w:tcPr>
            <w:tcW w:type="dxa" w:w="2160"/>
          </w:tcPr>
          <w:p>
            <w:r>
              <w:t>117.1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