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Chronic kidney disease (KDIGO: eGFR&lt;60 or ACR&gt;=30) (odds ratio per 1-SD 0.86 (95% CI 0.59 to 1.24), false discovery rate q 0.464)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0.59 to 1.24)</w:t>
            </w:r>
          </w:p>
        </w:tc>
        <w:tc>
          <w:tcPr>
            <w:tcW w:type="dxa" w:w="1234"/>
          </w:tcPr>
          <w:p>
            <w:r>
              <w:t>0.414</w:t>
            </w:r>
          </w:p>
        </w:tc>
        <w:tc>
          <w:tcPr>
            <w:tcW w:type="dxa" w:w="1234"/>
          </w:tcPr>
          <w:p>
            <w:r>
              <w:t>0.464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