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Chronic kidney disease (KDIGO: eGFR&lt;60 or ACR&gt;=30) (odds ratio per 1-SD 1.47 (95% CI 1.40 to 1.54), false discovery rate q &lt;0.001) among 20173 adults aged 20 years or older (a weighted Chronic kidney disease (KDIGO: eGFR&lt;60 or ACR&gt;=30) prevalence of 7.7 percent, survey-weighted). Confounders: Age, years, Male sex, Body mass index, kg/m2, Ever smoking (past/current), Ever alcohol (past/current),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1.47 (95% CI 1.40 to 1.54)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6.4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