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Height, cm and Chronic kidney disease (KDIGO: eGFR&lt;60 or ACR&gt;=30)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Height, cm was inversely associated with Chronic kidney disease (KDIGO: eGFR&lt;60 or ACR&gt;=30) (odds ratio per 1-SD 0.95 (95% CI 0.86 to 1.05), false discovery rate q 0.370) among 20173 adults aged 20 years or older (a weighted Chronic kidney disease (KDIGO: eGFR&lt;60 or ACR&gt;=30) prevalence of 7.7 percent, survey-weighted). Confounders: Age, years, Male sex, Ever smoking (past/current), Ever alcohol (past/current), Diabetes mellitus,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Ever smoking (past/current), Ever alcohol (past/current), Diabetes mellitus, Hypertension.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0.95 (95% CI 0.86 to 1.05)</w:t>
            </w:r>
          </w:p>
        </w:tc>
        <w:tc>
          <w:tcPr>
            <w:tcW w:type="dxa" w:w="1234"/>
          </w:tcPr>
          <w:p>
            <w:r>
              <w:t>0.321</w:t>
            </w:r>
          </w:p>
        </w:tc>
        <w:tc>
          <w:tcPr>
            <w:tcW w:type="dxa" w:w="1234"/>
          </w:tcPr>
          <w:p>
            <w:r>
              <w:t>0.370</w:t>
            </w:r>
          </w:p>
        </w:tc>
        <w:tc>
          <w:tcPr>
            <w:tcW w:type="dxa" w:w="1234"/>
          </w:tcPr>
          <w:p>
            <w:r>
              <w:t>20173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Height, cm (exposure)</w:t>
            </w:r>
          </w:p>
        </w:tc>
        <w:tc>
          <w:tcPr>
            <w:tcW w:type="dxa" w:w="2160"/>
          </w:tcPr>
          <w:p>
            <w:r>
              <w:t>164.9</w:t>
            </w:r>
          </w:p>
        </w:tc>
        <w:tc>
          <w:tcPr>
            <w:tcW w:type="dxa" w:w="2160"/>
          </w:tcPr>
          <w:p>
            <w:r>
              <w:t>165.1</w:t>
            </w:r>
          </w:p>
        </w:tc>
        <w:tc>
          <w:tcPr>
            <w:tcW w:type="dxa" w:w="2160"/>
          </w:tcPr>
          <w:p>
            <w:r>
              <w:t>161.9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61.0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24.1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91.6%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12.9%</w:t>
            </w:r>
          </w:p>
        </w:tc>
        <w:tc>
          <w:tcPr>
            <w:tcW w:type="dxa" w:w="2160"/>
          </w:tcPr>
          <w:p>
            <w:r>
              <w:t>10.7%</w:t>
            </w:r>
          </w:p>
        </w:tc>
        <w:tc>
          <w:tcPr>
            <w:tcW w:type="dxa" w:w="2160"/>
          </w:tcPr>
          <w:p>
            <w:r>
              <w:t>39.2%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27.7%</w:t>
            </w:r>
          </w:p>
        </w:tc>
        <w:tc>
          <w:tcPr>
            <w:tcW w:type="dxa" w:w="2160"/>
          </w:tcPr>
          <w:p>
            <w:r>
              <w:t>24.6%</w:t>
            </w:r>
          </w:p>
        </w:tc>
        <w:tc>
          <w:tcPr>
            <w:tcW w:type="dxa" w:w="2160"/>
          </w:tcPr>
          <w:p>
            <w:r>
              <w:t>64.8%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