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Chronic kidney disease (KDIGO: eGFR&lt;60 or ACR&gt;=30) (odds ratio 1.42 (95% CI 0.64 to 3.15), false discovery rate q 0.442)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1.42 (95% CI 0.64 to 3.15)</w:t>
            </w:r>
          </w:p>
        </w:tc>
        <w:tc>
          <w:tcPr>
            <w:tcW w:type="dxa" w:w="1234"/>
          </w:tcPr>
          <w:p>
            <w:r>
              <w:t>0.391</w:t>
            </w:r>
          </w:p>
        </w:tc>
        <w:tc>
          <w:tcPr>
            <w:tcW w:type="dxa" w:w="1234"/>
          </w:tcPr>
          <w:p>
            <w:r>
              <w:t>0.442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29.5%</w:t>
            </w:r>
          </w:p>
        </w:tc>
        <w:tc>
          <w:tcPr>
            <w:tcW w:type="dxa" w:w="2160"/>
          </w:tcPr>
          <w:p>
            <w:r>
              <w:t>40.9%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