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Chronic kidney disease (KDIGO: eGFR&lt;60 or ACR&gt;=30) (odds ratio 1.21 (95% CI 0.97 to 1.52), false discovery rate q 0.119)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0.97 to 1.52)</w:t>
            </w:r>
          </w:p>
        </w:tc>
        <w:tc>
          <w:tcPr>
            <w:tcW w:type="dxa" w:w="1234"/>
          </w:tcPr>
          <w:p>
            <w:r>
              <w:t>0.095</w:t>
            </w:r>
          </w:p>
        </w:tc>
        <w:tc>
          <w:tcPr>
            <w:tcW w:type="dxa" w:w="1234"/>
          </w:tcPr>
          <w:p>
            <w:r>
              <w:t>0.119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8.6%</w:t>
            </w:r>
          </w:p>
        </w:tc>
        <w:tc>
          <w:tcPr>
            <w:tcW w:type="dxa" w:w="2160"/>
          </w:tcPr>
          <w:p>
            <w:r>
              <w:t>8.4%</w:t>
            </w:r>
          </w:p>
        </w:tc>
        <w:tc>
          <w:tcPr>
            <w:tcW w:type="dxa" w:w="2160"/>
          </w:tcPr>
          <w:p>
            <w:r>
              <w:t>10.0%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